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0733F6DC"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w:t>
      </w:r>
      <w:r w:rsidR="00B50A97">
        <w:rPr>
          <w:rFonts w:eastAsia="Times New Roman"/>
          <w:b/>
          <w:color w:val="auto"/>
          <w:sz w:val="20"/>
          <w:szCs w:val="20"/>
        </w:rPr>
        <w:t>13</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23AA9EE7"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w:t>
      </w:r>
      <w:r w:rsidR="00B50A97">
        <w:rPr>
          <w:b/>
          <w:sz w:val="22"/>
          <w:szCs w:val="22"/>
        </w:rPr>
        <w:t>13</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30FD9D44"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B50A97">
        <w:rPr>
          <w:rFonts w:eastAsia="Times New Roman"/>
          <w:bCs/>
          <w:color w:val="auto"/>
          <w:sz w:val="22"/>
          <w:szCs w:val="22"/>
        </w:rPr>
        <w:t>13</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A55211" w14:paraId="78D84CD8" w14:textId="77777777" w:rsidTr="00A55211">
        <w:trPr>
          <w:trHeight w:val="433"/>
          <w:tblHeader/>
        </w:trPr>
        <w:tc>
          <w:tcPr>
            <w:tcW w:w="0" w:type="auto"/>
            <w:vMerge w:val="restart"/>
            <w:shd w:val="clear" w:color="auto" w:fill="auto"/>
            <w:vAlign w:val="center"/>
            <w:hideMark/>
          </w:tcPr>
          <w:p w14:paraId="65D8DA0C" w14:textId="77777777" w:rsidR="00FC6D76" w:rsidRPr="00A55211" w:rsidRDefault="00FC6D76" w:rsidP="00A55211">
            <w:pPr>
              <w:rPr>
                <w:rFonts w:cs="Arial"/>
                <w:b/>
                <w:bCs/>
                <w:color w:val="000000"/>
                <w:sz w:val="20"/>
                <w:szCs w:val="20"/>
              </w:rPr>
            </w:pPr>
            <w:r w:rsidRPr="00A55211">
              <w:rPr>
                <w:rFonts w:cs="Arial"/>
                <w:b/>
                <w:bCs/>
                <w:color w:val="000000"/>
                <w:sz w:val="20"/>
                <w:szCs w:val="20"/>
                <w:lang w:val="es-ES"/>
              </w:rPr>
              <w:t>ítem</w:t>
            </w:r>
          </w:p>
        </w:tc>
        <w:tc>
          <w:tcPr>
            <w:tcW w:w="3784" w:type="dxa"/>
            <w:vMerge w:val="restart"/>
            <w:shd w:val="clear" w:color="auto" w:fill="auto"/>
            <w:vAlign w:val="center"/>
            <w:hideMark/>
          </w:tcPr>
          <w:p w14:paraId="4B31E54F" w14:textId="77777777" w:rsidR="00FC6D76" w:rsidRPr="00A55211" w:rsidRDefault="00FC6D76" w:rsidP="00FC6D76">
            <w:pPr>
              <w:jc w:val="center"/>
              <w:rPr>
                <w:rFonts w:cs="Arial"/>
                <w:b/>
                <w:bCs/>
                <w:color w:val="000000"/>
                <w:sz w:val="20"/>
                <w:szCs w:val="20"/>
              </w:rPr>
            </w:pPr>
            <w:r w:rsidRPr="00A55211">
              <w:rPr>
                <w:rFonts w:cs="Arial"/>
                <w:b/>
                <w:bCs/>
                <w:color w:val="000000"/>
                <w:sz w:val="20"/>
                <w:szCs w:val="20"/>
                <w:lang w:val="es-ES"/>
              </w:rPr>
              <w:t>Descripción</w:t>
            </w:r>
          </w:p>
        </w:tc>
        <w:tc>
          <w:tcPr>
            <w:tcW w:w="996" w:type="dxa"/>
            <w:vMerge w:val="restart"/>
            <w:vAlign w:val="center"/>
          </w:tcPr>
          <w:p w14:paraId="5436F791" w14:textId="43C1106D"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Cantidad</w:t>
            </w:r>
          </w:p>
        </w:tc>
        <w:tc>
          <w:tcPr>
            <w:tcW w:w="973" w:type="dxa"/>
            <w:vMerge w:val="restart"/>
            <w:vAlign w:val="center"/>
          </w:tcPr>
          <w:p w14:paraId="5BC456C8" w14:textId="2BD80D80"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Unidad de medida</w:t>
            </w:r>
          </w:p>
        </w:tc>
        <w:tc>
          <w:tcPr>
            <w:tcW w:w="1213" w:type="dxa"/>
            <w:vMerge w:val="restart"/>
            <w:vAlign w:val="center"/>
          </w:tcPr>
          <w:p w14:paraId="16422015" w14:textId="77777777"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Precio unitario sin IVA</w:t>
            </w:r>
          </w:p>
        </w:tc>
        <w:tc>
          <w:tcPr>
            <w:tcW w:w="1423" w:type="dxa"/>
            <w:vMerge w:val="restart"/>
            <w:vAlign w:val="center"/>
          </w:tcPr>
          <w:p w14:paraId="01D58EEA"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Total</w:t>
            </w:r>
          </w:p>
        </w:tc>
      </w:tr>
      <w:tr w:rsidR="00FC6D76" w:rsidRPr="00A55211" w14:paraId="661DCCE7" w14:textId="77777777" w:rsidTr="00A55211">
        <w:trPr>
          <w:trHeight w:val="433"/>
        </w:trPr>
        <w:tc>
          <w:tcPr>
            <w:tcW w:w="0" w:type="auto"/>
            <w:vMerge/>
            <w:shd w:val="clear" w:color="auto" w:fill="auto"/>
            <w:vAlign w:val="center"/>
            <w:hideMark/>
          </w:tcPr>
          <w:p w14:paraId="1D08F043" w14:textId="77777777" w:rsidR="00FC6D76" w:rsidRPr="00A55211" w:rsidRDefault="00FC6D76" w:rsidP="00FC6D76">
            <w:pPr>
              <w:jc w:val="center"/>
              <w:rPr>
                <w:rFonts w:cs="Arial"/>
                <w:bCs/>
                <w:color w:val="000000"/>
                <w:sz w:val="20"/>
                <w:szCs w:val="20"/>
              </w:rPr>
            </w:pPr>
          </w:p>
        </w:tc>
        <w:tc>
          <w:tcPr>
            <w:tcW w:w="3784" w:type="dxa"/>
            <w:vMerge/>
            <w:shd w:val="clear" w:color="auto" w:fill="auto"/>
            <w:vAlign w:val="center"/>
            <w:hideMark/>
          </w:tcPr>
          <w:p w14:paraId="7AF5F335" w14:textId="77777777" w:rsidR="00FC6D76" w:rsidRPr="00A55211" w:rsidRDefault="00FC6D76" w:rsidP="00FC6D76">
            <w:pPr>
              <w:rPr>
                <w:rFonts w:cs="Arial"/>
                <w:color w:val="000000"/>
                <w:sz w:val="20"/>
                <w:szCs w:val="20"/>
              </w:rPr>
            </w:pPr>
          </w:p>
        </w:tc>
        <w:tc>
          <w:tcPr>
            <w:tcW w:w="996" w:type="dxa"/>
            <w:vMerge/>
            <w:vAlign w:val="center"/>
          </w:tcPr>
          <w:p w14:paraId="48803349" w14:textId="77777777" w:rsidR="00FC6D76" w:rsidRPr="00A55211" w:rsidRDefault="00FC6D76" w:rsidP="00FC6D76">
            <w:pPr>
              <w:jc w:val="center"/>
              <w:rPr>
                <w:rFonts w:cs="Arial"/>
                <w:color w:val="000000"/>
                <w:sz w:val="20"/>
                <w:szCs w:val="20"/>
                <w:lang w:val="es-ES"/>
              </w:rPr>
            </w:pPr>
          </w:p>
        </w:tc>
        <w:tc>
          <w:tcPr>
            <w:tcW w:w="973" w:type="dxa"/>
            <w:vMerge/>
            <w:vAlign w:val="center"/>
          </w:tcPr>
          <w:p w14:paraId="793C5B3F" w14:textId="77777777" w:rsidR="00FC6D76" w:rsidRPr="00A55211" w:rsidRDefault="00FC6D76" w:rsidP="00FC6D76">
            <w:pPr>
              <w:jc w:val="center"/>
              <w:rPr>
                <w:rFonts w:cs="Arial"/>
                <w:color w:val="000000"/>
                <w:sz w:val="20"/>
                <w:szCs w:val="20"/>
                <w:lang w:val="es-ES"/>
              </w:rPr>
            </w:pPr>
          </w:p>
        </w:tc>
        <w:tc>
          <w:tcPr>
            <w:tcW w:w="1213" w:type="dxa"/>
            <w:vMerge/>
            <w:vAlign w:val="center"/>
          </w:tcPr>
          <w:p w14:paraId="1B857706" w14:textId="77777777" w:rsidR="00FC6D76" w:rsidRPr="00A55211" w:rsidRDefault="00FC6D76" w:rsidP="00FC6D76">
            <w:pPr>
              <w:rPr>
                <w:rFonts w:cs="Arial"/>
                <w:color w:val="000000"/>
                <w:sz w:val="20"/>
                <w:szCs w:val="20"/>
                <w:lang w:val="es-ES"/>
              </w:rPr>
            </w:pPr>
          </w:p>
        </w:tc>
        <w:tc>
          <w:tcPr>
            <w:tcW w:w="1423" w:type="dxa"/>
            <w:vMerge/>
            <w:vAlign w:val="center"/>
          </w:tcPr>
          <w:p w14:paraId="6A33F3D3" w14:textId="77777777" w:rsidR="00FC6D76" w:rsidRPr="00A55211" w:rsidRDefault="00FC6D76" w:rsidP="00FC6D76">
            <w:pPr>
              <w:rPr>
                <w:rFonts w:cs="Arial"/>
                <w:color w:val="000000"/>
                <w:sz w:val="20"/>
                <w:szCs w:val="20"/>
                <w:lang w:val="es-ES"/>
              </w:rPr>
            </w:pPr>
          </w:p>
        </w:tc>
      </w:tr>
      <w:tr w:rsidR="006B4D1E" w:rsidRPr="00A55211" w14:paraId="516EADFA" w14:textId="77777777" w:rsidTr="003626ED">
        <w:tc>
          <w:tcPr>
            <w:tcW w:w="0" w:type="auto"/>
            <w:shd w:val="clear" w:color="auto" w:fill="auto"/>
            <w:vAlign w:val="center"/>
            <w:hideMark/>
          </w:tcPr>
          <w:p w14:paraId="204A9F4C" w14:textId="6954E93C" w:rsidR="006B4D1E" w:rsidRPr="00A55211" w:rsidRDefault="006B4D1E" w:rsidP="006B4D1E">
            <w:pPr>
              <w:jc w:val="center"/>
              <w:rPr>
                <w:rFonts w:cs="Arial"/>
                <w:bCs/>
                <w:color w:val="000000"/>
                <w:sz w:val="20"/>
                <w:szCs w:val="20"/>
              </w:rPr>
            </w:pPr>
            <w:r>
              <w:rPr>
                <w:rFonts w:ascii="Tahoma" w:hAnsi="Tahoma" w:cs="Tahoma"/>
                <w:color w:val="000000"/>
                <w:szCs w:val="22"/>
              </w:rPr>
              <w:t>1</w:t>
            </w:r>
          </w:p>
        </w:tc>
        <w:tc>
          <w:tcPr>
            <w:tcW w:w="3784" w:type="dxa"/>
            <w:shd w:val="clear" w:color="auto" w:fill="auto"/>
            <w:vAlign w:val="bottom"/>
            <w:hideMark/>
          </w:tcPr>
          <w:p w14:paraId="69CDF73B" w14:textId="6E9F3D7E" w:rsidR="006B4D1E" w:rsidRPr="00A55211" w:rsidRDefault="006B4D1E" w:rsidP="006B4D1E">
            <w:pPr>
              <w:rPr>
                <w:rFonts w:cs="Arial"/>
                <w:b/>
                <w:bCs/>
                <w:sz w:val="20"/>
                <w:szCs w:val="20"/>
              </w:rPr>
            </w:pPr>
            <w:r>
              <w:rPr>
                <w:rFonts w:cs="Arial"/>
                <w:color w:val="000000"/>
              </w:rPr>
              <w:t xml:space="preserve">Medidor de velocidad, chorro único, trasmisión mecánica, diámetro nominal de 15 mm (1/2 pulgada) para agua potable, registro en metros cúbicos, mínimo R160 en posición horizontal y mínimo en R100 en posición vertical, conexión roscada macho G ¾ B, presión máxima admisible </w:t>
            </w:r>
            <w:proofErr w:type="gramStart"/>
            <w:r>
              <w:rPr>
                <w:rFonts w:cs="Arial"/>
                <w:color w:val="000000"/>
              </w:rPr>
              <w:t>( MPA</w:t>
            </w:r>
            <w:proofErr w:type="gramEnd"/>
            <w:r>
              <w:rPr>
                <w:rFonts w:cs="Arial"/>
                <w:color w:val="000000"/>
              </w:rPr>
              <w:t>) 16 bar</w:t>
            </w:r>
          </w:p>
        </w:tc>
        <w:tc>
          <w:tcPr>
            <w:tcW w:w="996" w:type="dxa"/>
            <w:vAlign w:val="center"/>
          </w:tcPr>
          <w:p w14:paraId="1D927D5C" w14:textId="1B20D9E7" w:rsidR="006B4D1E" w:rsidRPr="00A55211" w:rsidRDefault="006B4D1E" w:rsidP="006B4D1E">
            <w:pPr>
              <w:jc w:val="center"/>
              <w:rPr>
                <w:rFonts w:cs="Arial"/>
                <w:b/>
                <w:bCs/>
                <w:sz w:val="20"/>
                <w:szCs w:val="20"/>
              </w:rPr>
            </w:pPr>
            <w:r>
              <w:rPr>
                <w:rFonts w:cs="Arial"/>
              </w:rPr>
              <w:t>1.519</w:t>
            </w:r>
          </w:p>
        </w:tc>
        <w:tc>
          <w:tcPr>
            <w:tcW w:w="973" w:type="dxa"/>
            <w:vAlign w:val="center"/>
          </w:tcPr>
          <w:p w14:paraId="17DFED9E" w14:textId="78206207" w:rsidR="006B4D1E" w:rsidRPr="00A55211" w:rsidRDefault="006B4D1E" w:rsidP="006B4D1E">
            <w:pPr>
              <w:jc w:val="center"/>
              <w:rPr>
                <w:rFonts w:cs="Arial"/>
                <w:b/>
                <w:bCs/>
                <w:sz w:val="20"/>
                <w:szCs w:val="20"/>
              </w:rPr>
            </w:pPr>
            <w:r>
              <w:rPr>
                <w:rFonts w:cs="Arial"/>
              </w:rPr>
              <w:t>UND</w:t>
            </w:r>
          </w:p>
        </w:tc>
        <w:tc>
          <w:tcPr>
            <w:tcW w:w="1213" w:type="dxa"/>
            <w:vAlign w:val="center"/>
          </w:tcPr>
          <w:p w14:paraId="04AB8CE9" w14:textId="77777777" w:rsidR="006B4D1E" w:rsidRPr="00A55211" w:rsidRDefault="006B4D1E" w:rsidP="006B4D1E">
            <w:pPr>
              <w:rPr>
                <w:rFonts w:cs="Arial"/>
                <w:color w:val="000000"/>
                <w:sz w:val="20"/>
                <w:szCs w:val="20"/>
                <w:lang w:val="es-ES"/>
              </w:rPr>
            </w:pPr>
          </w:p>
        </w:tc>
        <w:tc>
          <w:tcPr>
            <w:tcW w:w="1423" w:type="dxa"/>
            <w:vAlign w:val="center"/>
          </w:tcPr>
          <w:p w14:paraId="44497733" w14:textId="77777777" w:rsidR="006B4D1E" w:rsidRPr="00A55211" w:rsidRDefault="006B4D1E" w:rsidP="006B4D1E">
            <w:pPr>
              <w:rPr>
                <w:rFonts w:cs="Arial"/>
                <w:color w:val="000000"/>
                <w:sz w:val="20"/>
                <w:szCs w:val="20"/>
                <w:lang w:val="es-ES"/>
              </w:rPr>
            </w:pPr>
          </w:p>
        </w:tc>
      </w:tr>
      <w:tr w:rsidR="006B4D1E" w:rsidRPr="00A55211" w14:paraId="49338231" w14:textId="77777777" w:rsidTr="003626ED">
        <w:tc>
          <w:tcPr>
            <w:tcW w:w="0" w:type="auto"/>
            <w:shd w:val="clear" w:color="auto" w:fill="auto"/>
            <w:vAlign w:val="center"/>
          </w:tcPr>
          <w:p w14:paraId="2CF888C5" w14:textId="5D963656" w:rsidR="006B4D1E" w:rsidRPr="00A55211" w:rsidRDefault="006B4D1E" w:rsidP="006B4D1E">
            <w:pPr>
              <w:jc w:val="center"/>
              <w:rPr>
                <w:rFonts w:cs="Arial"/>
                <w:color w:val="000000"/>
                <w:sz w:val="20"/>
                <w:szCs w:val="20"/>
              </w:rPr>
            </w:pPr>
            <w:r>
              <w:rPr>
                <w:rFonts w:ascii="Tahoma" w:hAnsi="Tahoma" w:cs="Tahoma"/>
                <w:color w:val="000000"/>
                <w:szCs w:val="22"/>
              </w:rPr>
              <w:t>2</w:t>
            </w:r>
          </w:p>
        </w:tc>
        <w:tc>
          <w:tcPr>
            <w:tcW w:w="3784" w:type="dxa"/>
            <w:shd w:val="clear" w:color="auto" w:fill="auto"/>
            <w:vAlign w:val="bottom"/>
          </w:tcPr>
          <w:p w14:paraId="55A3BAAB" w14:textId="753F6D02" w:rsidR="006B4D1E" w:rsidRPr="00A55211" w:rsidRDefault="006B4D1E" w:rsidP="006B4D1E">
            <w:pPr>
              <w:ind w:firstLineChars="100" w:firstLine="220"/>
              <w:rPr>
                <w:rFonts w:cs="Arial"/>
                <w:color w:val="000000"/>
                <w:sz w:val="20"/>
                <w:szCs w:val="20"/>
              </w:rPr>
            </w:pPr>
            <w:r>
              <w:rPr>
                <w:rFonts w:cs="Arial"/>
                <w:color w:val="000000"/>
              </w:rPr>
              <w:t>Caja polimérica para contador domiciliario antifraude con el tornillo debajo de la tapa Dimensión de la caja longitud 50cm, ancho 35cm, y alto 20 cm.</w:t>
            </w:r>
          </w:p>
        </w:tc>
        <w:tc>
          <w:tcPr>
            <w:tcW w:w="996" w:type="dxa"/>
            <w:vAlign w:val="center"/>
          </w:tcPr>
          <w:p w14:paraId="053D0871" w14:textId="1A2034D7" w:rsidR="006B4D1E" w:rsidRPr="00A55211" w:rsidRDefault="006B4D1E" w:rsidP="006B4D1E">
            <w:pPr>
              <w:jc w:val="center"/>
              <w:rPr>
                <w:rFonts w:cs="Arial"/>
                <w:color w:val="000000"/>
                <w:sz w:val="20"/>
                <w:szCs w:val="20"/>
              </w:rPr>
            </w:pPr>
            <w:r>
              <w:rPr>
                <w:rFonts w:cs="Arial"/>
              </w:rPr>
              <w:t>600</w:t>
            </w:r>
          </w:p>
        </w:tc>
        <w:tc>
          <w:tcPr>
            <w:tcW w:w="973" w:type="dxa"/>
            <w:vAlign w:val="center"/>
          </w:tcPr>
          <w:p w14:paraId="1179941F" w14:textId="3AD27B00" w:rsidR="006B4D1E" w:rsidRPr="00A55211" w:rsidRDefault="006B4D1E" w:rsidP="006B4D1E">
            <w:pPr>
              <w:jc w:val="center"/>
              <w:rPr>
                <w:rFonts w:cs="Arial"/>
                <w:color w:val="000000"/>
                <w:sz w:val="20"/>
                <w:szCs w:val="20"/>
              </w:rPr>
            </w:pPr>
            <w:r>
              <w:rPr>
                <w:rFonts w:cs="Arial"/>
              </w:rPr>
              <w:t>UND</w:t>
            </w:r>
          </w:p>
        </w:tc>
        <w:tc>
          <w:tcPr>
            <w:tcW w:w="1213" w:type="dxa"/>
          </w:tcPr>
          <w:p w14:paraId="00341E2A" w14:textId="77777777" w:rsidR="006B4D1E" w:rsidRPr="00A55211" w:rsidRDefault="006B4D1E" w:rsidP="006B4D1E">
            <w:pPr>
              <w:rPr>
                <w:rFonts w:cs="Arial"/>
                <w:color w:val="000000"/>
                <w:sz w:val="20"/>
                <w:szCs w:val="20"/>
                <w:lang w:val="es-ES"/>
              </w:rPr>
            </w:pPr>
          </w:p>
        </w:tc>
        <w:tc>
          <w:tcPr>
            <w:tcW w:w="1423" w:type="dxa"/>
          </w:tcPr>
          <w:p w14:paraId="6A75EDDF" w14:textId="77777777" w:rsidR="006B4D1E" w:rsidRPr="00A55211" w:rsidRDefault="006B4D1E" w:rsidP="006B4D1E">
            <w:pPr>
              <w:rPr>
                <w:rFonts w:cs="Arial"/>
                <w:color w:val="000000"/>
                <w:sz w:val="20"/>
                <w:szCs w:val="20"/>
                <w:lang w:val="es-ES"/>
              </w:rPr>
            </w:pPr>
          </w:p>
        </w:tc>
      </w:tr>
      <w:tr w:rsidR="00FC6D76" w:rsidRPr="00A55211" w14:paraId="3C801707" w14:textId="77777777" w:rsidTr="00A55211">
        <w:tc>
          <w:tcPr>
            <w:tcW w:w="7518" w:type="dxa"/>
            <w:gridSpan w:val="5"/>
            <w:shd w:val="clear" w:color="auto" w:fill="auto"/>
            <w:vAlign w:val="center"/>
            <w:hideMark/>
          </w:tcPr>
          <w:p w14:paraId="279111E1"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Valor total de la oferta</w:t>
            </w:r>
            <w:r w:rsidRPr="00A55211">
              <w:rPr>
                <w:rFonts w:cs="Arial"/>
                <w:color w:val="000000"/>
                <w:sz w:val="20"/>
                <w:szCs w:val="20"/>
                <w:lang w:val="es-ES"/>
              </w:rPr>
              <w:t>, sin incluir el IVA</w:t>
            </w:r>
          </w:p>
        </w:tc>
        <w:tc>
          <w:tcPr>
            <w:tcW w:w="1423" w:type="dxa"/>
          </w:tcPr>
          <w:p w14:paraId="0367B464" w14:textId="77777777" w:rsidR="00FC6D76" w:rsidRPr="00A55211" w:rsidRDefault="00FC6D76" w:rsidP="00FC6D76">
            <w:pPr>
              <w:rPr>
                <w:rFonts w:cs="Arial"/>
                <w:b/>
                <w:bCs/>
                <w:color w:val="000000"/>
                <w:sz w:val="20"/>
                <w:szCs w:val="20"/>
                <w:lang w:val="es-ES"/>
              </w:rPr>
            </w:pPr>
          </w:p>
        </w:tc>
      </w:tr>
      <w:tr w:rsidR="00FC6D76" w:rsidRPr="00A55211" w14:paraId="1CC20758" w14:textId="77777777" w:rsidTr="00A55211">
        <w:tc>
          <w:tcPr>
            <w:tcW w:w="7518" w:type="dxa"/>
            <w:gridSpan w:val="5"/>
            <w:shd w:val="clear" w:color="auto" w:fill="auto"/>
            <w:vAlign w:val="center"/>
            <w:hideMark/>
          </w:tcPr>
          <w:p w14:paraId="190031F3" w14:textId="6B5E440B"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del IVA</w:t>
            </w:r>
          </w:p>
        </w:tc>
        <w:tc>
          <w:tcPr>
            <w:tcW w:w="1423" w:type="dxa"/>
          </w:tcPr>
          <w:p w14:paraId="3788F8EA" w14:textId="77777777" w:rsidR="00FC6D76" w:rsidRPr="00A55211" w:rsidRDefault="00FC6D76" w:rsidP="00FC6D76">
            <w:pPr>
              <w:rPr>
                <w:rFonts w:cs="Arial"/>
                <w:color w:val="000000"/>
                <w:sz w:val="20"/>
                <w:szCs w:val="20"/>
                <w:lang w:val="es-ES"/>
              </w:rPr>
            </w:pPr>
          </w:p>
        </w:tc>
      </w:tr>
      <w:tr w:rsidR="00FC6D76" w:rsidRPr="00A55211" w14:paraId="42EE9E01" w14:textId="77777777" w:rsidTr="00A55211">
        <w:tc>
          <w:tcPr>
            <w:tcW w:w="7518" w:type="dxa"/>
            <w:gridSpan w:val="5"/>
            <w:shd w:val="clear" w:color="auto" w:fill="auto"/>
            <w:vAlign w:val="center"/>
            <w:hideMark/>
          </w:tcPr>
          <w:p w14:paraId="5AA088BE" w14:textId="77777777"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total incluido el IVA</w:t>
            </w:r>
          </w:p>
        </w:tc>
        <w:tc>
          <w:tcPr>
            <w:tcW w:w="1423" w:type="dxa"/>
          </w:tcPr>
          <w:p w14:paraId="5BAACFB1" w14:textId="77777777" w:rsidR="00FC6D76" w:rsidRPr="00A55211" w:rsidRDefault="00FC6D76" w:rsidP="00FC6D76">
            <w:pPr>
              <w:rPr>
                <w:rFonts w:cs="Arial"/>
                <w:color w:val="000000"/>
                <w:sz w:val="20"/>
                <w:szCs w:val="20"/>
                <w:lang w:val="es-ES"/>
              </w:rPr>
            </w:pPr>
          </w:p>
        </w:tc>
      </w:tr>
    </w:tbl>
    <w:p w14:paraId="57306AFF" w14:textId="77777777" w:rsidR="00916BEB" w:rsidRPr="004F681C" w:rsidRDefault="00916BEB" w:rsidP="00916BEB">
      <w:pPr>
        <w:rPr>
          <w:rFonts w:eastAsia="Calibri" w:cs="Arial"/>
          <w:color w:val="00B050"/>
          <w:szCs w:val="22"/>
        </w:rPr>
      </w:pPr>
    </w:p>
    <w:p w14:paraId="5CAFA8B4" w14:textId="5F23552C" w:rsidR="00916BEB" w:rsidRPr="00176993" w:rsidRDefault="00916BEB" w:rsidP="00916BEB">
      <w:pPr>
        <w:rPr>
          <w:rFonts w:cs="Arial"/>
          <w:szCs w:val="22"/>
        </w:rPr>
      </w:pP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464BD9A6" w14:textId="77777777" w:rsidR="00E00AE8" w:rsidRDefault="00E00AE8" w:rsidP="00916BEB">
      <w:pPr>
        <w:rPr>
          <w:rFonts w:cs="Arial"/>
          <w:b/>
          <w:szCs w:val="22"/>
          <w:lang w:val="es-ES_tradnl"/>
        </w:rPr>
      </w:pPr>
    </w:p>
    <w:p w14:paraId="2861D8E9" w14:textId="77777777" w:rsidR="00E00AE8" w:rsidRDefault="00E00AE8" w:rsidP="00916BEB">
      <w:pPr>
        <w:rPr>
          <w:rFonts w:cs="Arial"/>
          <w:b/>
          <w:szCs w:val="22"/>
          <w:lang w:val="es-ES_tradnl"/>
        </w:rPr>
      </w:pPr>
    </w:p>
    <w:p w14:paraId="27CBA189" w14:textId="77777777" w:rsidR="00E00AE8" w:rsidRDefault="00E00AE8" w:rsidP="00916BEB">
      <w:pPr>
        <w:rPr>
          <w:rFonts w:cs="Arial"/>
          <w:b/>
          <w:szCs w:val="22"/>
          <w:lang w:val="es-ES_tradnl"/>
        </w:rPr>
      </w:pPr>
    </w:p>
    <w:p w14:paraId="1DB0E09F" w14:textId="77777777" w:rsidR="00E00AE8" w:rsidRDefault="00E00AE8" w:rsidP="00916BEB">
      <w:pPr>
        <w:rPr>
          <w:rFonts w:cs="Arial"/>
          <w:b/>
          <w:szCs w:val="22"/>
          <w:lang w:val="es-ES_tradnl"/>
        </w:rPr>
      </w:pPr>
    </w:p>
    <w:p w14:paraId="6D9B67AB" w14:textId="77777777" w:rsidR="00E00AE8" w:rsidRDefault="00E00AE8" w:rsidP="00916BEB">
      <w:pPr>
        <w:rPr>
          <w:rFonts w:cs="Arial"/>
          <w:b/>
          <w:szCs w:val="22"/>
          <w:lang w:val="es-ES_tradnl"/>
        </w:rPr>
      </w:pPr>
    </w:p>
    <w:p w14:paraId="541BE17D" w14:textId="77777777" w:rsidR="00E00AE8" w:rsidRDefault="00E00AE8" w:rsidP="00916BEB">
      <w:pPr>
        <w:rPr>
          <w:rFonts w:cs="Arial"/>
          <w:b/>
          <w:szCs w:val="22"/>
          <w:lang w:val="es-ES_tradnl"/>
        </w:rPr>
      </w:pPr>
    </w:p>
    <w:p w14:paraId="2512A2E3" w14:textId="77777777" w:rsidR="00E00AE8" w:rsidRDefault="00E00AE8" w:rsidP="00916BEB">
      <w:pPr>
        <w:rPr>
          <w:rFonts w:cs="Arial"/>
          <w:b/>
          <w:szCs w:val="22"/>
          <w:lang w:val="es-ES_tradnl"/>
        </w:rPr>
      </w:pPr>
    </w:p>
    <w:p w14:paraId="2965AFFF" w14:textId="77777777" w:rsidR="00E00AE8" w:rsidRDefault="00E00AE8" w:rsidP="00916BEB">
      <w:pPr>
        <w:rPr>
          <w:rFonts w:cs="Arial"/>
          <w:b/>
          <w:szCs w:val="22"/>
          <w:lang w:val="es-ES_tradnl"/>
        </w:rPr>
      </w:pPr>
    </w:p>
    <w:p w14:paraId="30C582A8" w14:textId="77777777" w:rsidR="00E00AE8" w:rsidRDefault="00E00AE8" w:rsidP="00916BEB">
      <w:pPr>
        <w:rPr>
          <w:rFonts w:cs="Arial"/>
          <w:b/>
          <w:szCs w:val="22"/>
          <w:lang w:val="es-ES_tradnl"/>
        </w:rPr>
      </w:pPr>
    </w:p>
    <w:p w14:paraId="328E6F1F" w14:textId="77777777" w:rsidR="00E00AE8" w:rsidRDefault="00E00AE8" w:rsidP="00916BEB">
      <w:pPr>
        <w:rPr>
          <w:rFonts w:cs="Arial"/>
          <w:b/>
          <w:szCs w:val="22"/>
          <w:lang w:val="es-ES_tradnl"/>
        </w:rPr>
      </w:pPr>
    </w:p>
    <w:p w14:paraId="13102E2D" w14:textId="77777777" w:rsidR="007E2662" w:rsidRDefault="007E2662" w:rsidP="006B4D1E">
      <w:pPr>
        <w:pStyle w:val="Default"/>
        <w:rPr>
          <w:b/>
          <w:sz w:val="22"/>
          <w:szCs w:val="22"/>
        </w:rPr>
      </w:pPr>
    </w:p>
    <w:p w14:paraId="1224FEE0" w14:textId="77777777" w:rsidR="007E2662" w:rsidRDefault="007E2662" w:rsidP="00916BEB">
      <w:pPr>
        <w:pStyle w:val="Default"/>
        <w:jc w:val="center"/>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AA75" w14:textId="77777777" w:rsidR="00875FFA" w:rsidRDefault="00875FFA" w:rsidP="00BB4CB2">
      <w:r>
        <w:separator/>
      </w:r>
    </w:p>
  </w:endnote>
  <w:endnote w:type="continuationSeparator" w:id="0">
    <w:p w14:paraId="2A5362A3" w14:textId="77777777" w:rsidR="00875FFA" w:rsidRDefault="00875FFA"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4F6F" w14:textId="77777777" w:rsidR="00875FFA" w:rsidRDefault="00875FFA" w:rsidP="00BB4CB2">
      <w:r>
        <w:separator/>
      </w:r>
    </w:p>
  </w:footnote>
  <w:footnote w:type="continuationSeparator" w:id="0">
    <w:p w14:paraId="52B84DFD" w14:textId="77777777" w:rsidR="00875FFA" w:rsidRDefault="00875FFA"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F1CB" w14:textId="77777777" w:rsidR="00350610" w:rsidRDefault="00744AD3" w:rsidP="00350610">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498"/>
    </w:tblGrid>
    <w:tr w:rsidR="00350610" w:rsidRPr="00E16785" w14:paraId="63EA2952" w14:textId="77777777" w:rsidTr="000F5392">
      <w:trPr>
        <w:trHeight w:val="465"/>
        <w:jc w:val="center"/>
      </w:trPr>
      <w:tc>
        <w:tcPr>
          <w:tcW w:w="2387" w:type="dxa"/>
          <w:vMerge w:val="restart"/>
          <w:noWrap/>
          <w:vAlign w:val="center"/>
        </w:tcPr>
        <w:p w14:paraId="63E5A75A" w14:textId="77777777" w:rsidR="00350610" w:rsidRPr="00E16785" w:rsidRDefault="00350610" w:rsidP="00350610">
          <w:pPr>
            <w:jc w:val="center"/>
          </w:pPr>
          <w:r>
            <w:rPr>
              <w:rFonts w:ascii="Trebuchet MS" w:hAnsi="Trebuchet MS"/>
              <w:noProof/>
              <w:lang w:val="en-US" w:eastAsia="en-US"/>
            </w:rPr>
            <w:drawing>
              <wp:inline distT="0" distB="0" distL="0" distR="0" wp14:anchorId="72040119" wp14:editId="1EAB00A3">
                <wp:extent cx="1314450" cy="539556"/>
                <wp:effectExtent l="0" t="0" r="0" b="0"/>
                <wp:docPr id="1362046700" name="Imagen 136204670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p w14:paraId="7C5200C8" w14:textId="77777777" w:rsidR="00350610" w:rsidRPr="00E16785" w:rsidRDefault="00350610" w:rsidP="00350610">
          <w:pPr>
            <w:jc w:val="center"/>
          </w:pPr>
        </w:p>
      </w:tc>
      <w:tc>
        <w:tcPr>
          <w:tcW w:w="4749" w:type="dxa"/>
          <w:vMerge w:val="restart"/>
          <w:vAlign w:val="center"/>
        </w:tcPr>
        <w:p w14:paraId="70F4F7BB" w14:textId="77777777" w:rsidR="00350610" w:rsidRPr="00726BD9" w:rsidRDefault="00350610" w:rsidP="00350610">
          <w:pPr>
            <w:jc w:val="center"/>
            <w:rPr>
              <w:rFonts w:cs="Arial"/>
              <w:b/>
              <w:szCs w:val="22"/>
            </w:rPr>
          </w:pPr>
          <w:r>
            <w:rPr>
              <w:rFonts w:ascii="Arial Narrow" w:hAnsi="Arial Narrow"/>
              <w:b/>
              <w:szCs w:val="22"/>
              <w:lang w:val="es-ES"/>
            </w:rPr>
            <w:t>CONDICIONES PARTICULARES SUMINISTRO</w:t>
          </w:r>
        </w:p>
      </w:tc>
      <w:tc>
        <w:tcPr>
          <w:tcW w:w="2498" w:type="dxa"/>
          <w:noWrap/>
          <w:vAlign w:val="center"/>
        </w:tcPr>
        <w:p w14:paraId="00D0C38A" w14:textId="77777777" w:rsidR="00350610" w:rsidRPr="00350610" w:rsidRDefault="00350610" w:rsidP="00350610">
          <w:pPr>
            <w:jc w:val="center"/>
            <w:rPr>
              <w:rFonts w:cs="Arial"/>
              <w:b/>
              <w:bCs/>
              <w:szCs w:val="22"/>
            </w:rPr>
          </w:pPr>
          <w:r w:rsidRPr="00350610">
            <w:rPr>
              <w:rFonts w:cs="Arial"/>
              <w:b/>
              <w:bCs/>
              <w:szCs w:val="22"/>
            </w:rPr>
            <w:t>Código: ABS-FOR-49</w:t>
          </w:r>
        </w:p>
      </w:tc>
    </w:tr>
    <w:tr w:rsidR="00350610" w:rsidRPr="00E16785" w14:paraId="10BCF40F" w14:textId="77777777" w:rsidTr="000F5392">
      <w:trPr>
        <w:trHeight w:val="465"/>
        <w:jc w:val="center"/>
      </w:trPr>
      <w:tc>
        <w:tcPr>
          <w:tcW w:w="2387" w:type="dxa"/>
          <w:vMerge/>
        </w:tcPr>
        <w:p w14:paraId="294024BB" w14:textId="77777777" w:rsidR="00350610" w:rsidRPr="00E16785" w:rsidRDefault="00350610" w:rsidP="00350610"/>
      </w:tc>
      <w:tc>
        <w:tcPr>
          <w:tcW w:w="4749" w:type="dxa"/>
          <w:vMerge/>
        </w:tcPr>
        <w:p w14:paraId="1CCDD521" w14:textId="77777777" w:rsidR="00350610" w:rsidRPr="00726BD9" w:rsidRDefault="00350610" w:rsidP="00350610">
          <w:pPr>
            <w:rPr>
              <w:rFonts w:cs="Arial"/>
              <w:b/>
              <w:bCs/>
              <w:szCs w:val="22"/>
            </w:rPr>
          </w:pPr>
        </w:p>
      </w:tc>
      <w:tc>
        <w:tcPr>
          <w:tcW w:w="2498" w:type="dxa"/>
          <w:shd w:val="clear" w:color="auto" w:fill="auto"/>
          <w:noWrap/>
          <w:vAlign w:val="center"/>
        </w:tcPr>
        <w:p w14:paraId="1F761980" w14:textId="77777777" w:rsidR="00350610" w:rsidRPr="00350610" w:rsidRDefault="00350610" w:rsidP="00350610">
          <w:pPr>
            <w:jc w:val="center"/>
            <w:rPr>
              <w:rFonts w:cs="Arial"/>
              <w:b/>
              <w:bCs/>
              <w:szCs w:val="22"/>
            </w:rPr>
          </w:pPr>
          <w:r w:rsidRPr="00350610">
            <w:rPr>
              <w:rFonts w:cs="Arial"/>
              <w:b/>
              <w:bCs/>
              <w:szCs w:val="22"/>
            </w:rPr>
            <w:t>Versión:10</w:t>
          </w:r>
        </w:p>
      </w:tc>
    </w:tr>
    <w:tr w:rsidR="00350610" w:rsidRPr="00E16785" w14:paraId="1BB7B769" w14:textId="77777777" w:rsidTr="000F5392">
      <w:trPr>
        <w:trHeight w:val="465"/>
        <w:jc w:val="center"/>
      </w:trPr>
      <w:tc>
        <w:tcPr>
          <w:tcW w:w="2387" w:type="dxa"/>
          <w:vMerge/>
        </w:tcPr>
        <w:p w14:paraId="3BEB8B89" w14:textId="77777777" w:rsidR="00350610" w:rsidRPr="00E16785" w:rsidRDefault="00350610" w:rsidP="00350610"/>
      </w:tc>
      <w:tc>
        <w:tcPr>
          <w:tcW w:w="4749" w:type="dxa"/>
          <w:vMerge/>
        </w:tcPr>
        <w:p w14:paraId="5654E76D" w14:textId="77777777" w:rsidR="00350610" w:rsidRPr="00726BD9" w:rsidRDefault="00350610" w:rsidP="00350610">
          <w:pPr>
            <w:rPr>
              <w:rFonts w:cs="Arial"/>
              <w:b/>
              <w:bCs/>
              <w:szCs w:val="22"/>
            </w:rPr>
          </w:pPr>
        </w:p>
      </w:tc>
      <w:tc>
        <w:tcPr>
          <w:tcW w:w="2498" w:type="dxa"/>
          <w:shd w:val="clear" w:color="auto" w:fill="auto"/>
          <w:noWrap/>
          <w:vAlign w:val="center"/>
        </w:tcPr>
        <w:p w14:paraId="123F2694" w14:textId="77777777" w:rsidR="00350610" w:rsidRPr="00350610" w:rsidRDefault="00350610" w:rsidP="00350610">
          <w:pPr>
            <w:jc w:val="center"/>
            <w:rPr>
              <w:rFonts w:cs="Arial"/>
              <w:b/>
              <w:bCs/>
              <w:szCs w:val="22"/>
            </w:rPr>
          </w:pPr>
          <w:r w:rsidRPr="00350610">
            <w:rPr>
              <w:rFonts w:cs="Arial"/>
              <w:b/>
              <w:bCs/>
            </w:rPr>
            <w:t>Fecha:20/02/2024</w:t>
          </w:r>
        </w:p>
      </w:tc>
    </w:tr>
  </w:tbl>
  <w:p w14:paraId="52ADDD1A" w14:textId="41451BA2" w:rsidR="00744AD3" w:rsidRDefault="00744AD3" w:rsidP="00350610">
    <w:pPr>
      <w:pStyle w:val="Encabezado"/>
      <w:tabs>
        <w:tab w:val="clear" w:pos="4252"/>
        <w:tab w:val="clear" w:pos="8504"/>
        <w:tab w:val="left" w:pos="3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0F6E1C"/>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610"/>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7B3B"/>
    <w:rsid w:val="004D0DFA"/>
    <w:rsid w:val="004D2678"/>
    <w:rsid w:val="004D62BB"/>
    <w:rsid w:val="004D681C"/>
    <w:rsid w:val="004E4DC3"/>
    <w:rsid w:val="004F0296"/>
    <w:rsid w:val="004F32CC"/>
    <w:rsid w:val="004F347E"/>
    <w:rsid w:val="004F4AD8"/>
    <w:rsid w:val="004F4EA8"/>
    <w:rsid w:val="004F5580"/>
    <w:rsid w:val="005005C9"/>
    <w:rsid w:val="005153CB"/>
    <w:rsid w:val="00516C38"/>
    <w:rsid w:val="005200C2"/>
    <w:rsid w:val="00521C1C"/>
    <w:rsid w:val="0053226C"/>
    <w:rsid w:val="005324C9"/>
    <w:rsid w:val="00535F05"/>
    <w:rsid w:val="00540447"/>
    <w:rsid w:val="005425B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B71"/>
    <w:rsid w:val="005B2296"/>
    <w:rsid w:val="005B54E3"/>
    <w:rsid w:val="005C2270"/>
    <w:rsid w:val="005C4E73"/>
    <w:rsid w:val="005D0292"/>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4D1E"/>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0A97"/>
    <w:rsid w:val="00B53415"/>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450F"/>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58D5"/>
    <w:rsid w:val="00E24CA5"/>
    <w:rsid w:val="00E25974"/>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168</TotalTime>
  <Pages>6</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112</cp:revision>
  <dcterms:created xsi:type="dcterms:W3CDTF">2024-03-05T14:21:00Z</dcterms:created>
  <dcterms:modified xsi:type="dcterms:W3CDTF">2025-05-07T20:49:00Z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