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lastRenderedPageBreak/>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w:t>
      </w:r>
      <w:proofErr w:type="gramStart"/>
      <w:r w:rsidRPr="00B36728">
        <w:rPr>
          <w:rFonts w:cs="Arial"/>
          <w:szCs w:val="22"/>
          <w:lang w:val="es-ES" w:eastAsia="es-ES"/>
        </w:rPr>
        <w:t>S.P</w:t>
      </w:r>
      <w:proofErr w:type="gramEnd"/>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w:t>
      </w:r>
      <w:proofErr w:type="spellStart"/>
      <w:r w:rsidRPr="00B36728">
        <w:rPr>
          <w:rFonts w:cs="Arial"/>
          <w:szCs w:val="22"/>
          <w:lang w:val="es-ES" w:eastAsia="es-ES"/>
        </w:rPr>
        <w:t>Cabí</w:t>
      </w:r>
      <w:proofErr w:type="spellEnd"/>
      <w:r w:rsidRPr="00B36728">
        <w:rPr>
          <w:rFonts w:cs="Arial"/>
          <w:szCs w:val="22"/>
          <w:lang w:val="es-ES" w:eastAsia="es-ES"/>
        </w:rPr>
        <w:t xml:space="preserve">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8">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9"/>
      <w:footerReference w:type="default" r:id="rId10"/>
      <w:headerReference w:type="first" r:id="rId11"/>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1DD" w14:textId="77777777" w:rsidR="007A0302" w:rsidRDefault="007A0302" w:rsidP="00BB4CB2">
      <w:r>
        <w:separator/>
      </w:r>
    </w:p>
  </w:endnote>
  <w:endnote w:type="continuationSeparator" w:id="0">
    <w:p w14:paraId="0DAB7CB1" w14:textId="77777777" w:rsidR="007A0302" w:rsidRDefault="007A0302"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D386" w14:textId="77777777" w:rsidR="007A0302" w:rsidRDefault="007A0302" w:rsidP="00BB4CB2">
      <w:r>
        <w:separator/>
      </w:r>
    </w:p>
  </w:footnote>
  <w:footnote w:type="continuationSeparator" w:id="0">
    <w:p w14:paraId="62CDD2A1" w14:textId="77777777" w:rsidR="007A0302" w:rsidRDefault="007A0302"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nacionalesep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21</cp:revision>
  <cp:lastPrinted>2024-05-17T13:48:00Z</cp:lastPrinted>
  <dcterms:created xsi:type="dcterms:W3CDTF">2024-05-17T13:50:00Z</dcterms:created>
  <dcterms:modified xsi:type="dcterms:W3CDTF">2025-01-15T14:58:00Z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